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2B" w:rsidRDefault="00D475FA" w:rsidP="00B92DBC">
      <w:pPr>
        <w:pStyle w:val="A5"/>
        <w:rPr>
          <w:rFonts w:cs="Times New Roman"/>
          <w:spacing w:val="60"/>
          <w:sz w:val="24"/>
          <w:szCs w:val="24"/>
        </w:rPr>
      </w:pPr>
      <w:r w:rsidRPr="00B92DBC">
        <w:rPr>
          <w:rFonts w:cs="Times New Roman"/>
          <w:spacing w:val="60"/>
          <w:sz w:val="24"/>
          <w:szCs w:val="24"/>
        </w:rPr>
        <w:t>РЕЗЮМЕ</w:t>
      </w:r>
    </w:p>
    <w:p w:rsidR="00B92DBC" w:rsidRDefault="00B92DBC" w:rsidP="00B92DBC">
      <w:pPr>
        <w:pStyle w:val="A5"/>
        <w:rPr>
          <w:rFonts w:cs="Times New Roman"/>
          <w:sz w:val="24"/>
          <w:szCs w:val="24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B92DBC" w:rsidRPr="009368FE" w:rsidTr="00EF727D">
        <w:tc>
          <w:tcPr>
            <w:tcW w:w="694" w:type="dxa"/>
          </w:tcPr>
          <w:p w:rsidR="00B92DBC" w:rsidRPr="009368FE" w:rsidRDefault="00B92DBC" w:rsidP="00B92DBC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9368FE">
              <w:rPr>
                <w:rFonts w:ascii="Times New Roman" w:hAnsi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</w:t>
            </w:r>
          </w:p>
        </w:tc>
      </w:tr>
      <w:tr w:rsidR="00B92DBC" w:rsidRPr="009368FE" w:rsidTr="00EF727D">
        <w:tc>
          <w:tcPr>
            <w:tcW w:w="694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DBC" w:rsidRPr="009368FE" w:rsidTr="00EF727D">
        <w:tc>
          <w:tcPr>
            <w:tcW w:w="694" w:type="dxa"/>
          </w:tcPr>
          <w:p w:rsidR="00B92DBC" w:rsidRPr="009368FE" w:rsidRDefault="00B92DBC" w:rsidP="00B92DBC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9368FE">
              <w:rPr>
                <w:rFonts w:ascii="Times New Roman" w:hAnsi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Владимир Вячеславович</w:t>
            </w:r>
          </w:p>
        </w:tc>
      </w:tr>
      <w:tr w:rsidR="00B92DBC" w:rsidRPr="009368FE" w:rsidTr="00EF727D">
        <w:tc>
          <w:tcPr>
            <w:tcW w:w="694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</w:tcPr>
          <w:p w:rsidR="00B92DBC" w:rsidRPr="009368FE" w:rsidRDefault="00B92DBC" w:rsidP="00EF727D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DBC" w:rsidRPr="009368FE" w:rsidTr="00EF727D">
        <w:tc>
          <w:tcPr>
            <w:tcW w:w="694" w:type="dxa"/>
          </w:tcPr>
          <w:p w:rsidR="00B92DBC" w:rsidRPr="009368FE" w:rsidRDefault="00B92DBC" w:rsidP="00B92DBC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9368FE">
              <w:rPr>
                <w:rFonts w:ascii="Times New Roman" w:hAnsi="Times New Roman"/>
                <w:b/>
                <w:bCs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</w:tcPr>
          <w:p w:rsidR="00B92DBC" w:rsidRPr="009368FE" w:rsidRDefault="00B92DBC" w:rsidP="00EF727D">
            <w:pPr>
              <w:widowControl w:val="0"/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доктор медицинских наук / ученого звания нет</w:t>
            </w:r>
          </w:p>
        </w:tc>
      </w:tr>
    </w:tbl>
    <w:p w:rsidR="00B92DBC" w:rsidRDefault="00B92DBC" w:rsidP="00B92DBC">
      <w:pPr>
        <w:pStyle w:val="A5"/>
        <w:rPr>
          <w:rFonts w:cs="Times New Roman"/>
          <w:sz w:val="24"/>
          <w:szCs w:val="24"/>
        </w:rPr>
      </w:pPr>
    </w:p>
    <w:p w:rsidR="0028302B" w:rsidRPr="00B92DBC" w:rsidRDefault="00B92DBC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Знание иностранных языков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(1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– плохо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5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– отлично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2078"/>
        <w:gridCol w:w="2077"/>
        <w:gridCol w:w="1985"/>
      </w:tblGrid>
      <w:tr w:rsidR="0028302B" w:rsidRPr="00B92DBC" w:rsidTr="0028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</w:t>
            </w:r>
          </w:p>
        </w:tc>
      </w:tr>
      <w:tr w:rsidR="0028302B" w:rsidRPr="00B92DBC" w:rsidTr="0028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6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28302B" w:rsidRPr="00B92DBC" w:rsidTr="0028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6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:rsidR="0028302B" w:rsidRPr="00B92DBC" w:rsidRDefault="0028302B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8302B" w:rsidRPr="00B92DBC" w:rsidRDefault="00B92DBC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Стаж работы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75FA" w:rsidRPr="00B92DBC">
        <w:rPr>
          <w:rFonts w:ascii="Times New Roman" w:hAnsi="Times New Roman" w:cs="Times New Roman"/>
          <w:sz w:val="24"/>
          <w:szCs w:val="24"/>
        </w:rPr>
        <w:t>общий</w:t>
      </w:r>
      <w:r w:rsidR="00D475FA" w:rsidRPr="00B92DBC">
        <w:rPr>
          <w:rFonts w:ascii="Times New Roman" w:hAnsi="Times New Roman" w:cs="Times New Roman"/>
          <w:sz w:val="24"/>
          <w:szCs w:val="24"/>
        </w:rPr>
        <w:t>: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 года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по специальности хирургия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г.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анестезиология 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- 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реаниматология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лет</w:t>
      </w:r>
      <w:r w:rsidR="00D475FA" w:rsidRPr="00B92DBC">
        <w:rPr>
          <w:rFonts w:ascii="Times New Roman" w:hAnsi="Times New Roman" w:cs="Times New Roman"/>
          <w:sz w:val="24"/>
          <w:szCs w:val="24"/>
        </w:rPr>
        <w:t>.</w:t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302B" w:rsidRPr="00B92DBC" w:rsidRDefault="0028302B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302B" w:rsidRPr="00B92DBC" w:rsidRDefault="00B92DBC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Высшее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интернатура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ординатура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аспирантура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докторантура и курсы повышения квалификации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сдача сертификационных экзаменов 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в обратном хронологическом порядке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834"/>
      </w:tblGrid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:rsidR="0028302B" w:rsidRPr="00B92DBC" w:rsidRDefault="00D475FA" w:rsidP="00B92DB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учреждения </w:t>
            </w: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Факультет </w:t>
            </w: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отделение</w:t>
            </w: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профессиональная переподготовка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повышение квалификации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хирургия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2018, 2013, 2008, 2003, 1998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Нижегородская государственная медицинская академия 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ПИМУ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профессиональная переподготовка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повышение квалификации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педагогика и психология высшей школы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2019, 2016, 2014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Нижегородская государственная медицинская академия 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ПИМУ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профессиональная переподготовка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повышение квалификации анестезиология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реаниматология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2017, 2012, 2007, 2003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Нижегородская государственная медицинская академия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аспирантура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хирургия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1999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Нижегородская государственная медицинская академия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интернатура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хирургия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1995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Нижегородская государственная медицинская академия</w:t>
            </w:r>
          </w:p>
        </w:tc>
      </w:tr>
      <w:tr w:rsidR="0028302B" w:rsidRPr="00B92DB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высшее образование –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специальность «лечебное дело»</w:t>
            </w: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1994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Нижегородская государственная медицинская академия</w:t>
            </w:r>
          </w:p>
        </w:tc>
      </w:tr>
    </w:tbl>
    <w:p w:rsidR="0028302B" w:rsidRPr="00B92DBC" w:rsidRDefault="0028302B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8302B" w:rsidRPr="00B92DBC" w:rsidRDefault="00B92DBC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Участие в семинарах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тренингах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курсах по вопросам проведения клинических исследований 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в обратном хронологическом пор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ядке</w:t>
      </w:r>
      <w:r w:rsidR="00D475FA" w:rsidRPr="00B92D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нет</w:t>
      </w:r>
    </w:p>
    <w:p w:rsidR="0028302B" w:rsidRPr="00B92DBC" w:rsidRDefault="0028302B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02B" w:rsidRPr="00B92DBC" w:rsidRDefault="00B92DBC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клинических исследованиях </w:t>
      </w:r>
      <w:r w:rsidR="00D475FA" w:rsidRPr="00B92DBC">
        <w:rPr>
          <w:rFonts w:ascii="Times New Roman" w:hAnsi="Times New Roman" w:cs="Times New Roman"/>
          <w:sz w:val="24"/>
          <w:szCs w:val="24"/>
        </w:rPr>
        <w:t>(</w:t>
      </w:r>
      <w:r w:rsidR="00D475FA" w:rsidRPr="00B92DBC">
        <w:rPr>
          <w:rFonts w:ascii="Times New Roman" w:hAnsi="Times New Roman" w:cs="Times New Roman"/>
          <w:sz w:val="24"/>
          <w:szCs w:val="24"/>
        </w:rPr>
        <w:t>в обратном хронологическом порядке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, 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в том </w:t>
      </w:r>
      <w:r w:rsidR="00D475FA" w:rsidRPr="00B92DBC">
        <w:rPr>
          <w:rFonts w:ascii="Times New Roman" w:hAnsi="Times New Roman" w:cs="Times New Roman"/>
          <w:sz w:val="24"/>
          <w:szCs w:val="24"/>
        </w:rPr>
        <w:lastRenderedPageBreak/>
        <w:t>числе в настоящее время</w:t>
      </w:r>
      <w:r w:rsidR="00D475FA" w:rsidRPr="00B92DBC">
        <w:rPr>
          <w:rFonts w:ascii="Times New Roman" w:hAnsi="Times New Roman" w:cs="Times New Roman"/>
          <w:sz w:val="24"/>
          <w:szCs w:val="24"/>
        </w:rPr>
        <w:t>)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нет</w:t>
      </w:r>
    </w:p>
    <w:p w:rsidR="0028302B" w:rsidRPr="00B92DBC" w:rsidRDefault="0028302B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02B" w:rsidRPr="00B92DBC" w:rsidRDefault="00B92DBC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75FA" w:rsidRPr="00B92DBC">
        <w:rPr>
          <w:rFonts w:ascii="Times New Roman" w:hAnsi="Times New Roman" w:cs="Times New Roman"/>
          <w:sz w:val="24"/>
          <w:szCs w:val="24"/>
        </w:rPr>
        <w:t xml:space="preserve">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Количество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 публикаций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всего в РИНЦ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138,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индекс </w:t>
      </w:r>
      <w:proofErr w:type="spellStart"/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Хирша</w:t>
      </w:r>
      <w:proofErr w:type="spellEnd"/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5FA" w:rsidRPr="00B92DBC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  <w:r w:rsidR="00D475FA" w:rsidRPr="00B92D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302B" w:rsidRPr="00B92DBC" w:rsidRDefault="0028302B" w:rsidP="00B92DBC">
      <w:pPr>
        <w:widowControl w:val="0"/>
        <w:spacing w:after="0" w:line="240" w:lineRule="auto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02B" w:rsidRPr="00B92DBC" w:rsidRDefault="00D475FA" w:rsidP="00B92D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92D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2D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2DBC">
        <w:rPr>
          <w:rFonts w:ascii="Times New Roman" w:hAnsi="Times New Roman" w:cs="Times New Roman"/>
          <w:b/>
          <w:bCs/>
          <w:sz w:val="24"/>
          <w:szCs w:val="24"/>
        </w:rPr>
        <w:t xml:space="preserve">Научные работы </w:t>
      </w:r>
      <w:r w:rsidRPr="00B92DBC">
        <w:rPr>
          <w:rFonts w:ascii="Times New Roman" w:hAnsi="Times New Roman" w:cs="Times New Roman"/>
          <w:sz w:val="24"/>
          <w:szCs w:val="24"/>
        </w:rPr>
        <w:t>(</w:t>
      </w:r>
      <w:r w:rsidRPr="00B92DBC">
        <w:rPr>
          <w:rFonts w:ascii="Times New Roman" w:hAnsi="Times New Roman" w:cs="Times New Roman"/>
          <w:sz w:val="24"/>
          <w:szCs w:val="24"/>
        </w:rPr>
        <w:t>перечень монографий</w:t>
      </w:r>
      <w:r w:rsidRPr="00B92DBC">
        <w:rPr>
          <w:rFonts w:ascii="Times New Roman" w:hAnsi="Times New Roman" w:cs="Times New Roman"/>
          <w:sz w:val="24"/>
          <w:szCs w:val="24"/>
        </w:rPr>
        <w:t xml:space="preserve">, </w:t>
      </w:r>
      <w:r w:rsidRPr="00B92DBC">
        <w:rPr>
          <w:rFonts w:ascii="Times New Roman" w:hAnsi="Times New Roman" w:cs="Times New Roman"/>
          <w:sz w:val="24"/>
          <w:szCs w:val="24"/>
        </w:rPr>
        <w:t>статей и т</w:t>
      </w:r>
      <w:r w:rsidRPr="00B92DBC">
        <w:rPr>
          <w:rFonts w:ascii="Times New Roman" w:hAnsi="Times New Roman" w:cs="Times New Roman"/>
          <w:sz w:val="24"/>
          <w:szCs w:val="24"/>
        </w:rPr>
        <w:t>.</w:t>
      </w:r>
      <w:r w:rsidRPr="00B92DBC">
        <w:rPr>
          <w:rFonts w:ascii="Times New Roman" w:hAnsi="Times New Roman" w:cs="Times New Roman"/>
          <w:sz w:val="24"/>
          <w:szCs w:val="24"/>
        </w:rPr>
        <w:t>п</w:t>
      </w:r>
      <w:r w:rsidRPr="00B92DBC">
        <w:rPr>
          <w:rFonts w:ascii="Times New Roman" w:hAnsi="Times New Roman" w:cs="Times New Roman"/>
          <w:sz w:val="24"/>
          <w:szCs w:val="24"/>
        </w:rPr>
        <w:t xml:space="preserve">. </w:t>
      </w:r>
      <w:r w:rsidRPr="00B92DBC">
        <w:rPr>
          <w:rFonts w:ascii="Times New Roman" w:hAnsi="Times New Roman" w:cs="Times New Roman"/>
          <w:sz w:val="24"/>
          <w:szCs w:val="24"/>
        </w:rPr>
        <w:t>по профилю клинического исследования</w:t>
      </w:r>
      <w:r w:rsidRPr="00B92DBC">
        <w:rPr>
          <w:rFonts w:ascii="Times New Roman" w:hAnsi="Times New Roman" w:cs="Times New Roman"/>
          <w:sz w:val="24"/>
          <w:szCs w:val="24"/>
        </w:rPr>
        <w:t xml:space="preserve">, </w:t>
      </w:r>
      <w:r w:rsidRPr="00B92DBC">
        <w:rPr>
          <w:rFonts w:ascii="Times New Roman" w:hAnsi="Times New Roman" w:cs="Times New Roman"/>
          <w:sz w:val="24"/>
          <w:szCs w:val="24"/>
        </w:rPr>
        <w:t>которое планируется проводить</w:t>
      </w:r>
      <w:r w:rsidRPr="00B92DBC">
        <w:rPr>
          <w:rFonts w:ascii="Times New Roman" w:hAnsi="Times New Roman" w:cs="Times New Roman"/>
          <w:sz w:val="24"/>
          <w:szCs w:val="24"/>
        </w:rPr>
        <w:t>)</w:t>
      </w:r>
      <w:r w:rsidRPr="00B92D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Normal"/>
        <w:tblW w:w="9634" w:type="dxa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9010"/>
      </w:tblGrid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302B" w:rsidRPr="00B92DBC" w:rsidRDefault="00D475FA" w:rsidP="00B92DBC">
            <w:pPr>
              <w:tabs>
                <w:tab w:val="left" w:pos="567"/>
                <w:tab w:val="left" w:pos="3969"/>
              </w:tabs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302B" w:rsidRPr="00B92DBC" w:rsidRDefault="00D475FA" w:rsidP="00B92DB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научных работ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Воспалительные осложнения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протезирующеи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пластики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брюшнои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̆ стенки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диагностика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лечение и профилактика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обзор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технологии в медицине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2019; 3: 158-178.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Жизнеугрожающие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осложнения после реконструкции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брюшнои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стенки у трудного пациента с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послеоперационнои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грыжеи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анализ клиническ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ого случая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Градусов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Козлова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Фирсова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Сечкина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Медицинский альманах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2019; 1(58); 63 - 68. 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Выбор способа закрытия дефекта брюшной стенки у пациентов с послеоперационными грыжами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Романов 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Логинов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Бабурин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//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Современные проблемы науки и образования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2018.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№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6; URL: http://www.scien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ce-education.ru/article/view?id=28146 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дата обращения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31.10.2018).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Задняя сепарация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показания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техника и результаты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обзор литературы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Логинов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Бабурин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Романов 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//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Современные проблемы науки и образования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2018.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№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5; URL: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http://www.science-education.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ru/article/view?id=28025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дата обращения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18.09.2018).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Логинов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Бабурин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Касимов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Полувековой путь развития профилактики инфекционных осложнений в послеоперационных ранах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Медицинский вестник Башкортостана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2017; 1(67): 82-93.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Миронов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Спаечный процесс в брюшной полости после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ненатяжной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пластики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ультралегкими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синте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тическими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эндопротезами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технологии в медицине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2017; 3(9): 45-54.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Логинов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Касимов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Бабурин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механические способы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интраоперационной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профилактики инфекций области хирургического вмешательства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Новости хирургии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2015; 5(23): 559-565.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Логинов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Техника разделения компонентов в лечении пациентов с вентральными и послеоперационными грыжами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обзор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технологии в медицине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1(8): 183-194.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Шемятовский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Титаров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Колпаков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Осадченко С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Титансодержащие сетчатые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эндопротезы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как перспективная группа имплантатов для пластики брюшной стенки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Хирургия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4: 86 - 95.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Миронов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Заваруев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Черников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Беляев О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Прочностные характеристики брюшной стенки в зоне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интраперитонеальной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ретромускулярной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протезирующей пластики с использованием легких 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ультралегких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синтетических и титансодержащих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эндопротезов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эксперимент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альное исследование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технологии в медицине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3(8): 27 - 36.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Миронов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Аникина 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Заславская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 вопросу о возможности применения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ультралегких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титансодержащих сетчатых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эндопротезов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для пластики брюшной стенки в условиях инфицирования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экспериментальное исследование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Хирургия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11: 64-70.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Миронов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Аникина 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Заславская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Протезирующая пластика брюшной стенки с применением легких 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ультралегких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синтетических и титансодержащих материалов в условиях высокой бактериальной контаминации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Современные технологии в медицине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2015; 4(7): 64-71.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Миронов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Казанцев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Алехин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Интраперитонеальная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ретромускулярная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пластика брюшной стенки синтетическими и титансодержащими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эндопр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отезами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экспериментальное исследование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Хирургия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4: 40 - 44.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Фирсова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Градусов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Вопросы тактики лечения больных с жидкостными скоплениями при остром панкреатите в свете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новои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̆ классификации локальных осложнений острого панкреатита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Вестник экспериментальной и клинической хирургии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2: 113-122.</w:t>
            </w:r>
          </w:p>
        </w:tc>
      </w:tr>
      <w:tr w:rsidR="0028302B" w:rsidRPr="00B9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28302B" w:rsidRPr="00B92DBC" w:rsidRDefault="00D475FA" w:rsidP="00B92DBC">
            <w:pPr>
              <w:widowControl w:val="0"/>
              <w:spacing w:after="0" w:line="240" w:lineRule="auto"/>
              <w:ind w:right="-3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bottom"/>
          </w:tcPr>
          <w:p w:rsidR="0028302B" w:rsidRPr="00B92DBC" w:rsidRDefault="00D475FA" w:rsidP="00B92DBC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Фирсова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Касатова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Луковникова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Фомина С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Новиков Д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Копылова Г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Варшавская Л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proofErr w:type="gram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Паршиков</w:t>
            </w:r>
            <w:proofErr w:type="gram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proofErr w:type="spellStart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Евсегнеева</w:t>
            </w:r>
            <w:proofErr w:type="spellEnd"/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Караулов А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Новиков 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Растворимые формы антигенов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CD 95, CD 25, CD 54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CD 38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при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остром панкреатите и их возможное клиническое значение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Иммунология </w:t>
            </w:r>
            <w:r w:rsidRPr="00B92DB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2016; 37(4): 219-223.</w:t>
            </w:r>
          </w:p>
        </w:tc>
      </w:tr>
    </w:tbl>
    <w:p w:rsidR="0028302B" w:rsidRPr="00B92DBC" w:rsidRDefault="0028302B" w:rsidP="00B92DBC">
      <w:pPr>
        <w:widowControl w:val="0"/>
        <w:spacing w:after="0" w:line="240" w:lineRule="auto"/>
        <w:ind w:left="19" w:hanging="19"/>
        <w:rPr>
          <w:rFonts w:ascii="Times New Roman" w:hAnsi="Times New Roman" w:cs="Times New Roman"/>
          <w:sz w:val="24"/>
          <w:szCs w:val="24"/>
        </w:rPr>
      </w:pPr>
    </w:p>
    <w:sectPr w:rsidR="0028302B" w:rsidRPr="00B92DBC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FA" w:rsidRDefault="00D475FA">
      <w:pPr>
        <w:spacing w:after="0" w:line="240" w:lineRule="auto"/>
      </w:pPr>
      <w:r>
        <w:separator/>
      </w:r>
    </w:p>
  </w:endnote>
  <w:endnote w:type="continuationSeparator" w:id="0">
    <w:p w:rsidR="00D475FA" w:rsidRDefault="00D4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2B" w:rsidRDefault="002830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FA" w:rsidRDefault="00D475FA">
      <w:pPr>
        <w:spacing w:after="0" w:line="240" w:lineRule="auto"/>
      </w:pPr>
      <w:r>
        <w:separator/>
      </w:r>
    </w:p>
  </w:footnote>
  <w:footnote w:type="continuationSeparator" w:id="0">
    <w:p w:rsidR="00D475FA" w:rsidRDefault="00D4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2B" w:rsidRDefault="002830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2B"/>
    <w:rsid w:val="00280E90"/>
    <w:rsid w:val="0028302B"/>
    <w:rsid w:val="00B92DBC"/>
    <w:rsid w:val="00D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AE93"/>
  <w15:docId w15:val="{2A453F55-4DA2-4FCD-BB64-0128701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аголовок A"/>
    <w:pPr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2019-10-22T11:33:00Z</dcterms:created>
  <dcterms:modified xsi:type="dcterms:W3CDTF">2019-10-22T11:40:00Z</dcterms:modified>
</cp:coreProperties>
</file>